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AE" w:rsidRDefault="00262D2C">
      <w:r>
        <w:rPr>
          <w:noProof/>
        </w:rPr>
        <w:drawing>
          <wp:inline distT="0" distB="0" distL="0" distR="0">
            <wp:extent cx="572770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8 at 1.25.55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158240"/>
                    </a:xfrm>
                    <a:prstGeom prst="rect">
                      <a:avLst/>
                    </a:prstGeom>
                  </pic:spPr>
                </pic:pic>
              </a:graphicData>
            </a:graphic>
          </wp:inline>
        </w:drawing>
      </w:r>
    </w:p>
    <w:p w:rsidR="002B0103" w:rsidRDefault="002B0103"/>
    <w:p w:rsidR="002B0103" w:rsidRPr="008A0285" w:rsidRDefault="002B0103" w:rsidP="002B0103">
      <w:pPr>
        <w:pStyle w:val="IntenseQuote"/>
        <w:ind w:left="0" w:right="231"/>
        <w:rPr>
          <w:b/>
          <w:sz w:val="36"/>
          <w:szCs w:val="36"/>
        </w:rPr>
      </w:pPr>
      <w:r w:rsidRPr="008A0285">
        <w:rPr>
          <w:b/>
          <w:sz w:val="36"/>
          <w:szCs w:val="36"/>
        </w:rPr>
        <w:t xml:space="preserve">Scott </w:t>
      </w:r>
      <w:proofErr w:type="spellStart"/>
      <w:r w:rsidRPr="008A0285">
        <w:rPr>
          <w:b/>
          <w:sz w:val="36"/>
          <w:szCs w:val="36"/>
        </w:rPr>
        <w:t>Darlow</w:t>
      </w:r>
      <w:proofErr w:type="spellEnd"/>
      <w:r w:rsidRPr="008A0285">
        <w:rPr>
          <w:b/>
          <w:sz w:val="36"/>
          <w:szCs w:val="36"/>
        </w:rPr>
        <w:t xml:space="preserve"> Presentations – Curriculum Connections</w:t>
      </w:r>
    </w:p>
    <w:p w:rsidR="002B0103" w:rsidRPr="00764733" w:rsidRDefault="002B0103" w:rsidP="002B0103">
      <w:pPr>
        <w:rPr>
          <w:rFonts w:cstheme="minorHAnsi"/>
        </w:rPr>
      </w:pPr>
    </w:p>
    <w:p w:rsidR="00CA5BDF" w:rsidRPr="00262D2C" w:rsidRDefault="002B0103" w:rsidP="00262D2C">
      <w:pPr>
        <w:jc w:val="both"/>
        <w:rPr>
          <w:rFonts w:asciiTheme="minorHAnsi" w:hAnsiTheme="minorHAnsi" w:cstheme="minorHAnsi"/>
          <w:b/>
          <w:color w:val="C00000"/>
          <w:sz w:val="28"/>
          <w:szCs w:val="28"/>
        </w:rPr>
      </w:pPr>
      <w:r w:rsidRPr="00262D2C">
        <w:rPr>
          <w:rFonts w:asciiTheme="minorHAnsi" w:hAnsiTheme="minorHAnsi" w:cstheme="minorHAnsi"/>
          <w:b/>
          <w:color w:val="C00000"/>
          <w:sz w:val="28"/>
          <w:szCs w:val="28"/>
        </w:rPr>
        <w:t>Opening Session</w:t>
      </w:r>
      <w:r w:rsidR="00CA5BDF" w:rsidRPr="00262D2C">
        <w:rPr>
          <w:rFonts w:asciiTheme="minorHAnsi" w:hAnsiTheme="minorHAnsi" w:cstheme="minorHAnsi"/>
          <w:b/>
          <w:color w:val="C00000"/>
          <w:sz w:val="28"/>
          <w:szCs w:val="28"/>
        </w:rPr>
        <w:t xml:space="preserve"> – Presentation – Australian History and FLUTE</w:t>
      </w:r>
    </w:p>
    <w:p w:rsidR="002B0103" w:rsidRPr="00262D2C" w:rsidRDefault="002B0103" w:rsidP="00262D2C">
      <w:pPr>
        <w:jc w:val="both"/>
        <w:rPr>
          <w:rFonts w:asciiTheme="minorHAnsi" w:hAnsiTheme="minorHAnsi" w:cstheme="minorHAnsi"/>
          <w:b/>
          <w:color w:val="C00000"/>
          <w:sz w:val="28"/>
          <w:szCs w:val="28"/>
        </w:rPr>
      </w:pPr>
    </w:p>
    <w:p w:rsidR="00CA5BDF" w:rsidRPr="00262D2C" w:rsidRDefault="00CA5BDF" w:rsidP="00262D2C">
      <w:pPr>
        <w:jc w:val="both"/>
        <w:rPr>
          <w:rFonts w:asciiTheme="minorHAnsi" w:hAnsiTheme="minorHAnsi" w:cstheme="minorHAnsi"/>
          <w:color w:val="000000" w:themeColor="text1"/>
          <w:sz w:val="28"/>
          <w:szCs w:val="28"/>
        </w:rPr>
      </w:pPr>
      <w:r w:rsidRPr="00262D2C">
        <w:rPr>
          <w:rFonts w:asciiTheme="minorHAnsi" w:hAnsiTheme="minorHAnsi" w:cstheme="minorHAnsi"/>
          <w:color w:val="000000" w:themeColor="text1"/>
          <w:sz w:val="28"/>
          <w:szCs w:val="28"/>
        </w:rPr>
        <w:t xml:space="preserve">Singer Songwriter and Aboriginal presenter, Scott </w:t>
      </w:r>
      <w:proofErr w:type="spellStart"/>
      <w:r w:rsidRPr="00262D2C">
        <w:rPr>
          <w:rFonts w:asciiTheme="minorHAnsi" w:hAnsiTheme="minorHAnsi" w:cstheme="minorHAnsi"/>
          <w:color w:val="000000" w:themeColor="text1"/>
          <w:sz w:val="28"/>
          <w:szCs w:val="28"/>
        </w:rPr>
        <w:t>Darlow</w:t>
      </w:r>
      <w:proofErr w:type="spellEnd"/>
      <w:r w:rsidRPr="00262D2C">
        <w:rPr>
          <w:rFonts w:asciiTheme="minorHAnsi" w:hAnsiTheme="minorHAnsi" w:cstheme="minorHAnsi"/>
          <w:color w:val="000000" w:themeColor="text1"/>
          <w:sz w:val="28"/>
          <w:szCs w:val="28"/>
        </w:rPr>
        <w:t>, discusses Australian History. This is woven within Aboriginal History, stories from his family, ancestors, friends and associates, that give insight into the land we call home, Australia. He finishes by challenging listeners to make our home a better place, using the acronym FLUTE – forgiveness, love, understanding, tolerance and empathy.</w:t>
      </w:r>
    </w:p>
    <w:p w:rsidR="00CA5BDF" w:rsidRPr="00262D2C" w:rsidRDefault="00CA5BDF" w:rsidP="00262D2C">
      <w:pPr>
        <w:jc w:val="both"/>
        <w:rPr>
          <w:rFonts w:asciiTheme="minorHAnsi" w:hAnsiTheme="minorHAnsi" w:cstheme="minorHAnsi"/>
          <w:color w:val="000000" w:themeColor="text1"/>
          <w:sz w:val="28"/>
          <w:szCs w:val="28"/>
        </w:rPr>
      </w:pPr>
    </w:p>
    <w:p w:rsidR="00CA5BDF" w:rsidRPr="00262D2C" w:rsidRDefault="00CA5BDF" w:rsidP="00262D2C">
      <w:pPr>
        <w:jc w:val="both"/>
        <w:rPr>
          <w:rFonts w:asciiTheme="minorHAnsi" w:hAnsiTheme="minorHAnsi" w:cstheme="minorHAnsi"/>
          <w:color w:val="000000" w:themeColor="text1"/>
          <w:sz w:val="28"/>
          <w:szCs w:val="28"/>
        </w:rPr>
      </w:pPr>
      <w:r w:rsidRPr="00262D2C">
        <w:rPr>
          <w:rFonts w:asciiTheme="minorHAnsi" w:hAnsiTheme="minorHAnsi" w:cstheme="minorHAnsi"/>
          <w:color w:val="000000" w:themeColor="text1"/>
          <w:sz w:val="28"/>
          <w:szCs w:val="28"/>
        </w:rPr>
        <w:t>Th</w:t>
      </w:r>
      <w:r w:rsidR="004A03E7" w:rsidRPr="00262D2C">
        <w:rPr>
          <w:rFonts w:asciiTheme="minorHAnsi" w:hAnsiTheme="minorHAnsi" w:cstheme="minorHAnsi"/>
          <w:color w:val="000000" w:themeColor="text1"/>
          <w:sz w:val="28"/>
          <w:szCs w:val="28"/>
        </w:rPr>
        <w:t xml:space="preserve">is very engaging </w:t>
      </w:r>
      <w:r w:rsidRPr="00262D2C">
        <w:rPr>
          <w:rFonts w:asciiTheme="minorHAnsi" w:hAnsiTheme="minorHAnsi" w:cstheme="minorHAnsi"/>
          <w:color w:val="000000" w:themeColor="text1"/>
          <w:sz w:val="28"/>
          <w:szCs w:val="28"/>
        </w:rPr>
        <w:t>presentation runs for 65 minutes and is bookended with performances by Scott, his band as well as some special guest appearances.</w:t>
      </w:r>
    </w:p>
    <w:p w:rsidR="00CA5BDF" w:rsidRPr="00262D2C" w:rsidRDefault="00CA5BDF" w:rsidP="00262D2C">
      <w:pPr>
        <w:jc w:val="both"/>
        <w:rPr>
          <w:rFonts w:asciiTheme="minorHAnsi" w:hAnsiTheme="minorHAnsi" w:cstheme="minorHAnsi"/>
          <w:b/>
          <w:color w:val="C00000"/>
          <w:sz w:val="28"/>
          <w:szCs w:val="28"/>
        </w:rPr>
      </w:pPr>
    </w:p>
    <w:p w:rsidR="002B0103" w:rsidRPr="00262D2C" w:rsidRDefault="002B0103" w:rsidP="00262D2C">
      <w:pPr>
        <w:jc w:val="both"/>
        <w:rPr>
          <w:rFonts w:asciiTheme="minorHAnsi" w:hAnsiTheme="minorHAnsi" w:cstheme="minorHAnsi"/>
          <w:color w:val="000000" w:themeColor="text1"/>
        </w:rPr>
      </w:pPr>
    </w:p>
    <w:p w:rsidR="002B0103" w:rsidRPr="00262D2C" w:rsidRDefault="002B0103" w:rsidP="00262D2C">
      <w:pPr>
        <w:jc w:val="both"/>
        <w:rPr>
          <w:rFonts w:asciiTheme="minorHAnsi" w:hAnsiTheme="minorHAnsi" w:cstheme="minorHAnsi"/>
          <w:color w:val="000000" w:themeColor="text1"/>
        </w:rPr>
      </w:pPr>
      <w:r w:rsidRPr="00262D2C">
        <w:rPr>
          <w:rFonts w:asciiTheme="minorHAnsi" w:hAnsiTheme="minorHAnsi" w:cstheme="minorHAnsi"/>
          <w:color w:val="000000" w:themeColor="text1"/>
        </w:rPr>
        <w:t xml:space="preserve">While watching Scott describing </w:t>
      </w:r>
      <w:r w:rsidR="00CA5BDF" w:rsidRPr="00262D2C">
        <w:rPr>
          <w:rFonts w:asciiTheme="minorHAnsi" w:hAnsiTheme="minorHAnsi" w:cstheme="minorHAnsi"/>
          <w:color w:val="000000" w:themeColor="text1"/>
        </w:rPr>
        <w:t>some of the horrific events of Australia’s past, and offering hope for our present and future</w:t>
      </w:r>
      <w:r w:rsidRPr="00262D2C">
        <w:rPr>
          <w:rFonts w:asciiTheme="minorHAnsi" w:hAnsiTheme="minorHAnsi" w:cstheme="minorHAnsi"/>
          <w:color w:val="000000" w:themeColor="text1"/>
        </w:rPr>
        <w:t>, as teacher</w:t>
      </w:r>
      <w:r w:rsidR="00CA5BDF" w:rsidRPr="00262D2C">
        <w:rPr>
          <w:rFonts w:asciiTheme="minorHAnsi" w:hAnsiTheme="minorHAnsi" w:cstheme="minorHAnsi"/>
          <w:color w:val="000000" w:themeColor="text1"/>
        </w:rPr>
        <w:t>s</w:t>
      </w:r>
      <w:r w:rsidRPr="00262D2C">
        <w:rPr>
          <w:rFonts w:asciiTheme="minorHAnsi" w:hAnsiTheme="minorHAnsi" w:cstheme="minorHAnsi"/>
          <w:color w:val="000000" w:themeColor="text1"/>
        </w:rPr>
        <w:t xml:space="preserve"> we make connections with the varying subject areas, skills and knowledge we aim to foster in our students. </w:t>
      </w:r>
    </w:p>
    <w:p w:rsidR="002B0103" w:rsidRPr="00262D2C" w:rsidRDefault="002B0103" w:rsidP="00262D2C">
      <w:pPr>
        <w:jc w:val="both"/>
        <w:rPr>
          <w:rFonts w:asciiTheme="minorHAnsi" w:hAnsiTheme="minorHAnsi" w:cstheme="minorHAnsi"/>
        </w:rPr>
      </w:pPr>
    </w:p>
    <w:p w:rsidR="002B0103" w:rsidRPr="00262D2C" w:rsidRDefault="002B0103" w:rsidP="00262D2C">
      <w:pPr>
        <w:jc w:val="both"/>
        <w:rPr>
          <w:rFonts w:asciiTheme="minorHAnsi" w:hAnsiTheme="minorHAnsi" w:cstheme="minorHAnsi"/>
        </w:rPr>
      </w:pPr>
      <w:r w:rsidRPr="00262D2C">
        <w:rPr>
          <w:rFonts w:asciiTheme="minorHAnsi" w:hAnsiTheme="minorHAnsi" w:cstheme="minorHAnsi"/>
        </w:rPr>
        <w:t>This lesson is approachable for Years 7-11 and can connect to the following areas in the Australian and Victorian Curriculum.</w:t>
      </w:r>
    </w:p>
    <w:p w:rsidR="002B0103" w:rsidRPr="00262D2C" w:rsidRDefault="002B0103" w:rsidP="00262D2C">
      <w:pPr>
        <w:jc w:val="both"/>
        <w:rPr>
          <w:rFonts w:asciiTheme="minorHAnsi" w:hAnsiTheme="minorHAnsi" w:cstheme="minorHAnsi"/>
        </w:rPr>
      </w:pPr>
    </w:p>
    <w:p w:rsidR="002B0103" w:rsidRPr="00262D2C" w:rsidRDefault="002B0103" w:rsidP="00262D2C">
      <w:pPr>
        <w:jc w:val="both"/>
        <w:rPr>
          <w:rFonts w:asciiTheme="minorHAnsi" w:hAnsiTheme="minorHAnsi" w:cstheme="minorHAnsi"/>
        </w:rPr>
      </w:pPr>
    </w:p>
    <w:p w:rsidR="002B0103" w:rsidRPr="00262D2C" w:rsidRDefault="002B0103" w:rsidP="00262D2C">
      <w:pPr>
        <w:jc w:val="both"/>
        <w:rPr>
          <w:rFonts w:asciiTheme="minorHAnsi" w:hAnsiTheme="minorHAnsi" w:cstheme="minorHAnsi"/>
          <w:b/>
          <w:sz w:val="28"/>
          <w:szCs w:val="28"/>
        </w:rPr>
      </w:pPr>
      <w:r w:rsidRPr="00262D2C">
        <w:rPr>
          <w:rFonts w:asciiTheme="minorHAnsi" w:hAnsiTheme="minorHAnsi" w:cstheme="minorHAnsi"/>
          <w:b/>
          <w:sz w:val="28"/>
          <w:szCs w:val="28"/>
        </w:rPr>
        <w:t>ACARA General Capabilities:</w:t>
      </w:r>
    </w:p>
    <w:p w:rsidR="002B0103" w:rsidRPr="00262D2C" w:rsidRDefault="002B0103" w:rsidP="00262D2C">
      <w:pPr>
        <w:jc w:val="both"/>
        <w:rPr>
          <w:rFonts w:asciiTheme="minorHAnsi" w:hAnsiTheme="minorHAnsi" w:cstheme="minorHAnsi"/>
          <w:color w:val="00B0F0"/>
        </w:rPr>
      </w:pPr>
      <w:hyperlink r:id="rId6" w:history="1">
        <w:r w:rsidRPr="00262D2C">
          <w:rPr>
            <w:rStyle w:val="Hyperlink"/>
            <w:rFonts w:asciiTheme="minorHAnsi" w:hAnsiTheme="minorHAnsi" w:cstheme="minorHAnsi"/>
            <w:color w:val="00B0F0"/>
          </w:rPr>
          <w:t>https://www.australian</w:t>
        </w:r>
        <w:r w:rsidRPr="00262D2C">
          <w:rPr>
            <w:rStyle w:val="Hyperlink"/>
            <w:rFonts w:asciiTheme="minorHAnsi" w:hAnsiTheme="minorHAnsi" w:cstheme="minorHAnsi"/>
            <w:color w:val="00B0F0"/>
          </w:rPr>
          <w:t>c</w:t>
        </w:r>
        <w:r w:rsidRPr="00262D2C">
          <w:rPr>
            <w:rStyle w:val="Hyperlink"/>
            <w:rFonts w:asciiTheme="minorHAnsi" w:hAnsiTheme="minorHAnsi" w:cstheme="minorHAnsi"/>
            <w:color w:val="00B0F0"/>
          </w:rPr>
          <w:t>urriculum.edu.au/f-10-curriculum/general-capabilities/</w:t>
        </w:r>
      </w:hyperlink>
    </w:p>
    <w:p w:rsidR="002B0103" w:rsidRPr="00262D2C" w:rsidRDefault="002B0103" w:rsidP="00262D2C">
      <w:pPr>
        <w:jc w:val="both"/>
        <w:rPr>
          <w:rFonts w:asciiTheme="minorHAnsi" w:hAnsiTheme="minorHAnsi" w:cstheme="minorHAnsi"/>
        </w:rPr>
      </w:pPr>
    </w:p>
    <w:p w:rsidR="004A03E7" w:rsidRPr="00262D2C" w:rsidRDefault="004A03E7" w:rsidP="00262D2C">
      <w:pPr>
        <w:pStyle w:val="ListParagraph"/>
        <w:numPr>
          <w:ilvl w:val="0"/>
          <w:numId w:val="4"/>
        </w:numPr>
        <w:jc w:val="both"/>
        <w:rPr>
          <w:rFonts w:asciiTheme="minorHAnsi" w:hAnsiTheme="minorHAnsi" w:cstheme="minorHAnsi"/>
          <w:color w:val="00B050"/>
        </w:rPr>
      </w:pPr>
      <w:r w:rsidRPr="00262D2C">
        <w:rPr>
          <w:rFonts w:asciiTheme="minorHAnsi" w:hAnsiTheme="minorHAnsi" w:cstheme="minorHAnsi"/>
          <w:color w:val="00B050"/>
        </w:rPr>
        <w:t>Intercultural Understanding</w:t>
      </w:r>
    </w:p>
    <w:p w:rsidR="004A03E7" w:rsidRPr="00262D2C" w:rsidRDefault="004A03E7" w:rsidP="00262D2C">
      <w:pPr>
        <w:spacing w:before="100" w:beforeAutospacing="1" w:after="100" w:afterAutospacing="1"/>
        <w:jc w:val="both"/>
        <w:rPr>
          <w:rFonts w:asciiTheme="minorHAnsi" w:hAnsiTheme="minorHAnsi" w:cstheme="minorHAnsi"/>
          <w:color w:val="222222"/>
        </w:rPr>
      </w:pPr>
      <w:r w:rsidRPr="00262D2C">
        <w:rPr>
          <w:rFonts w:asciiTheme="minorHAnsi" w:hAnsiTheme="minorHAnsi" w:cstheme="minorHAnsi"/>
          <w:color w:val="222222"/>
        </w:rPr>
        <w:t xml:space="preserve">For Example: </w:t>
      </w:r>
      <w:r w:rsidRPr="004A03E7">
        <w:rPr>
          <w:rFonts w:asciiTheme="minorHAnsi" w:hAnsiTheme="minorHAnsi" w:cstheme="minorHAnsi"/>
          <w:color w:val="00B050"/>
        </w:rPr>
        <w:t xml:space="preserve">Intercultural understanding </w:t>
      </w:r>
      <w:r w:rsidRPr="004A03E7">
        <w:rPr>
          <w:rFonts w:asciiTheme="minorHAnsi" w:hAnsiTheme="minorHAnsi" w:cstheme="minorHAnsi"/>
          <w:color w:val="222222"/>
        </w:rPr>
        <w:t>stimulates students’ interest in the lives of others. It cultivates values and dispositions such as curiosity, care, empathy, reciprocity, respect and responsibility, open-mindedness and critical awareness, and supports new and positive intercultural behaviours. Though all are significant in learning to live together, three dispositions – expressing empathy, demonstrating respect and taking responsibility – have been identified as critical to the development of Intercultural Understanding in the Australian Curriculum.</w:t>
      </w:r>
    </w:p>
    <w:p w:rsidR="004A03E7" w:rsidRPr="004A03E7" w:rsidRDefault="004A03E7" w:rsidP="00262D2C">
      <w:pPr>
        <w:spacing w:before="100" w:beforeAutospacing="1" w:after="100" w:afterAutospacing="1"/>
        <w:jc w:val="both"/>
        <w:rPr>
          <w:rFonts w:asciiTheme="minorHAnsi" w:hAnsiTheme="minorHAnsi" w:cstheme="minorHAnsi"/>
          <w:color w:val="222222"/>
        </w:rPr>
      </w:pPr>
      <w:proofErr w:type="spellStart"/>
      <w:r w:rsidRPr="00262D2C">
        <w:rPr>
          <w:rFonts w:asciiTheme="minorHAnsi" w:hAnsiTheme="minorHAnsi" w:cstheme="minorHAnsi"/>
          <w:color w:val="222222"/>
        </w:rPr>
        <w:lastRenderedPageBreak/>
        <w:t>Darlow’s</w:t>
      </w:r>
      <w:proofErr w:type="spellEnd"/>
      <w:r w:rsidRPr="00262D2C">
        <w:rPr>
          <w:rFonts w:asciiTheme="minorHAnsi" w:hAnsiTheme="minorHAnsi" w:cstheme="minorHAnsi"/>
          <w:color w:val="222222"/>
        </w:rPr>
        <w:t xml:space="preserve"> introduction and challenge to his audience regarding FLUTE</w:t>
      </w:r>
      <w:r w:rsidR="00262D2C">
        <w:rPr>
          <w:rFonts w:asciiTheme="minorHAnsi" w:hAnsiTheme="minorHAnsi" w:cstheme="minorHAnsi"/>
          <w:color w:val="222222"/>
        </w:rPr>
        <w:t>,</w:t>
      </w:r>
      <w:r w:rsidRPr="00262D2C">
        <w:rPr>
          <w:rFonts w:asciiTheme="minorHAnsi" w:hAnsiTheme="minorHAnsi" w:cstheme="minorHAnsi"/>
          <w:color w:val="222222"/>
        </w:rPr>
        <w:t xml:space="preserve"> as well as sparking a clearer understanding and empathy with First Nation peoples, allows teachers to cover many elements of ACARA’s General Capabilities in an accessible and engaging forum.</w:t>
      </w:r>
    </w:p>
    <w:p w:rsidR="004A03E7" w:rsidRPr="00262D2C" w:rsidRDefault="004A03E7" w:rsidP="00262D2C">
      <w:pPr>
        <w:jc w:val="both"/>
        <w:rPr>
          <w:rFonts w:asciiTheme="minorHAnsi" w:hAnsiTheme="minorHAnsi" w:cstheme="minorHAnsi"/>
        </w:rPr>
      </w:pPr>
    </w:p>
    <w:p w:rsidR="002B0103" w:rsidRPr="00262D2C" w:rsidRDefault="004A03E7" w:rsidP="00262D2C">
      <w:pPr>
        <w:jc w:val="both"/>
        <w:rPr>
          <w:rFonts w:asciiTheme="minorHAnsi" w:hAnsiTheme="minorHAnsi" w:cstheme="minorHAnsi"/>
          <w:b/>
          <w:color w:val="7030A0"/>
          <w:sz w:val="28"/>
          <w:szCs w:val="28"/>
        </w:rPr>
      </w:pPr>
      <w:r w:rsidRPr="00262D2C">
        <w:rPr>
          <w:rFonts w:asciiTheme="minorHAnsi" w:hAnsiTheme="minorHAnsi" w:cstheme="minorHAnsi"/>
          <w:b/>
          <w:color w:val="7030A0"/>
          <w:sz w:val="28"/>
          <w:szCs w:val="28"/>
        </w:rPr>
        <w:t>History</w:t>
      </w:r>
    </w:p>
    <w:p w:rsidR="004A03E7" w:rsidRPr="00262D2C" w:rsidRDefault="004A03E7" w:rsidP="00262D2C">
      <w:pPr>
        <w:jc w:val="both"/>
        <w:rPr>
          <w:rFonts w:asciiTheme="minorHAnsi" w:hAnsiTheme="minorHAnsi" w:cstheme="minorHAnsi"/>
        </w:rPr>
      </w:pPr>
    </w:p>
    <w:p w:rsidR="004A03E7" w:rsidRPr="00262D2C" w:rsidRDefault="004A03E7" w:rsidP="00262D2C">
      <w:pPr>
        <w:jc w:val="both"/>
        <w:rPr>
          <w:rFonts w:asciiTheme="minorHAnsi" w:hAnsiTheme="minorHAnsi" w:cstheme="minorHAnsi"/>
        </w:rPr>
      </w:pPr>
      <w:r w:rsidRPr="00262D2C">
        <w:rPr>
          <w:rFonts w:asciiTheme="minorHAnsi" w:hAnsiTheme="minorHAnsi" w:cstheme="minorHAnsi"/>
        </w:rPr>
        <w:t xml:space="preserve">Scott touches on </w:t>
      </w:r>
      <w:r w:rsidR="00F452B2" w:rsidRPr="00262D2C">
        <w:rPr>
          <w:rFonts w:asciiTheme="minorHAnsi" w:hAnsiTheme="minorHAnsi" w:cstheme="minorHAnsi"/>
        </w:rPr>
        <w:t xml:space="preserve">the History of Australia from white colonialism and the movement to Australia, but also the impact of this on the original inhabitants.  </w:t>
      </w:r>
    </w:p>
    <w:p w:rsidR="00F452B2" w:rsidRPr="00262D2C" w:rsidRDefault="00F452B2" w:rsidP="00262D2C">
      <w:pPr>
        <w:jc w:val="both"/>
        <w:rPr>
          <w:rFonts w:asciiTheme="minorHAnsi" w:hAnsiTheme="minorHAnsi" w:cstheme="minorHAnsi"/>
        </w:rPr>
      </w:pPr>
    </w:p>
    <w:p w:rsidR="00F452B2" w:rsidRPr="00262D2C" w:rsidRDefault="00F452B2" w:rsidP="00262D2C">
      <w:pPr>
        <w:jc w:val="both"/>
        <w:rPr>
          <w:rFonts w:asciiTheme="minorHAnsi" w:hAnsiTheme="minorHAnsi" w:cstheme="minorHAnsi"/>
        </w:rPr>
      </w:pPr>
      <w:r w:rsidRPr="00262D2C">
        <w:rPr>
          <w:rFonts w:asciiTheme="minorHAnsi" w:hAnsiTheme="minorHAnsi" w:cstheme="minorHAnsi"/>
        </w:rPr>
        <w:t>An example of where this fits into ACARA’s History Curriculum is Year 9 into Year 10 History.</w:t>
      </w:r>
    </w:p>
    <w:p w:rsidR="00F452B2" w:rsidRPr="00262D2C" w:rsidRDefault="00F452B2" w:rsidP="00262D2C">
      <w:pPr>
        <w:pStyle w:val="NormalWeb"/>
        <w:jc w:val="both"/>
        <w:rPr>
          <w:rFonts w:asciiTheme="minorHAnsi" w:hAnsiTheme="minorHAnsi" w:cstheme="minorHAnsi"/>
          <w:color w:val="222222"/>
        </w:rPr>
      </w:pPr>
      <w:r w:rsidRPr="00262D2C">
        <w:rPr>
          <w:rFonts w:asciiTheme="minorHAnsi" w:hAnsiTheme="minorHAnsi" w:cstheme="minorHAnsi"/>
          <w:color w:val="222222"/>
        </w:rPr>
        <w:t xml:space="preserve">The Year 9 </w:t>
      </w:r>
      <w:hyperlink r:id="rId7" w:history="1">
        <w:r w:rsidRPr="00262D2C">
          <w:rPr>
            <w:rStyle w:val="Hyperlink"/>
            <w:rFonts w:asciiTheme="minorHAnsi" w:hAnsiTheme="minorHAnsi" w:cstheme="minorHAnsi"/>
          </w:rPr>
          <w:t>Histo</w:t>
        </w:r>
        <w:r w:rsidRPr="00262D2C">
          <w:rPr>
            <w:rStyle w:val="Hyperlink"/>
            <w:rFonts w:asciiTheme="minorHAnsi" w:hAnsiTheme="minorHAnsi" w:cstheme="minorHAnsi"/>
          </w:rPr>
          <w:t>r</w:t>
        </w:r>
        <w:r w:rsidRPr="00262D2C">
          <w:rPr>
            <w:rStyle w:val="Hyperlink"/>
            <w:rFonts w:asciiTheme="minorHAnsi" w:hAnsiTheme="minorHAnsi" w:cstheme="minorHAnsi"/>
          </w:rPr>
          <w:t>y c</w:t>
        </w:r>
        <w:r w:rsidRPr="00262D2C">
          <w:rPr>
            <w:rStyle w:val="Hyperlink"/>
            <w:rFonts w:asciiTheme="minorHAnsi" w:hAnsiTheme="minorHAnsi" w:cstheme="minorHAnsi"/>
          </w:rPr>
          <w:t>u</w:t>
        </w:r>
        <w:r w:rsidRPr="00262D2C">
          <w:rPr>
            <w:rStyle w:val="Hyperlink"/>
            <w:rFonts w:asciiTheme="minorHAnsi" w:hAnsiTheme="minorHAnsi" w:cstheme="minorHAnsi"/>
          </w:rPr>
          <w:t>rriculum</w:t>
        </w:r>
      </w:hyperlink>
      <w:r w:rsidRPr="00262D2C">
        <w:rPr>
          <w:rFonts w:asciiTheme="minorHAnsi" w:hAnsiTheme="minorHAnsi" w:cstheme="minorHAnsi"/>
          <w:color w:val="222222"/>
        </w:rPr>
        <w:t xml:space="preserve"> provides a study of the history of the making of the modern world from 1750 to 1918. It was a period of industrialisation and rapid change in the ways people lived, worked and thought. It was an era of nationalism and imperialism, and the colonisation of Australia was part of the expansion of European power. The period culminated in World War I, 1914–1918, the ‘war to end all </w:t>
      </w:r>
      <w:proofErr w:type="gramStart"/>
      <w:r w:rsidRPr="00262D2C">
        <w:rPr>
          <w:rFonts w:asciiTheme="minorHAnsi" w:hAnsiTheme="minorHAnsi" w:cstheme="minorHAnsi"/>
          <w:color w:val="222222"/>
        </w:rPr>
        <w:t>wars’</w:t>
      </w:r>
      <w:proofErr w:type="gramEnd"/>
      <w:r w:rsidRPr="00262D2C">
        <w:rPr>
          <w:rFonts w:asciiTheme="minorHAnsi" w:hAnsiTheme="minorHAnsi" w:cstheme="minorHAnsi"/>
          <w:color w:val="222222"/>
        </w:rPr>
        <w:t>.</w:t>
      </w:r>
    </w:p>
    <w:p w:rsidR="00F452B2" w:rsidRPr="00262D2C" w:rsidRDefault="00F452B2" w:rsidP="00262D2C">
      <w:pPr>
        <w:pStyle w:val="NormalWeb"/>
        <w:jc w:val="both"/>
        <w:rPr>
          <w:rFonts w:asciiTheme="minorHAnsi" w:hAnsiTheme="minorHAnsi" w:cstheme="minorHAnsi"/>
          <w:color w:val="222222"/>
        </w:rPr>
      </w:pPr>
      <w:r w:rsidRPr="00262D2C">
        <w:rPr>
          <w:rFonts w:asciiTheme="minorHAnsi" w:hAnsiTheme="minorHAnsi" w:cstheme="minorHAnsi"/>
          <w:color w:val="222222"/>
        </w:rPr>
        <w:t>The content provides opportunities to develop historical understanding through key concepts, including </w:t>
      </w:r>
      <w:r w:rsidRPr="00262D2C">
        <w:rPr>
          <w:rStyle w:val="Strong"/>
          <w:rFonts w:asciiTheme="minorHAnsi" w:hAnsiTheme="minorHAnsi" w:cstheme="minorHAnsi"/>
          <w:color w:val="222222"/>
        </w:rPr>
        <w:t>evidence, continuity and change, cause and effect, perspectives, empathy, significance </w:t>
      </w:r>
      <w:r w:rsidRPr="00262D2C">
        <w:rPr>
          <w:rFonts w:asciiTheme="minorHAnsi" w:hAnsiTheme="minorHAnsi" w:cstheme="minorHAnsi"/>
          <w:color w:val="222222"/>
        </w:rPr>
        <w:t>and</w:t>
      </w:r>
      <w:r w:rsidRPr="00262D2C">
        <w:rPr>
          <w:rStyle w:val="Strong"/>
          <w:rFonts w:asciiTheme="minorHAnsi" w:hAnsiTheme="minorHAnsi" w:cstheme="minorHAnsi"/>
          <w:color w:val="222222"/>
        </w:rPr>
        <w:t> contestability.</w:t>
      </w:r>
      <w:r w:rsidRPr="00262D2C">
        <w:rPr>
          <w:rFonts w:asciiTheme="minorHAnsi" w:hAnsiTheme="minorHAnsi" w:cstheme="minorHAnsi"/>
          <w:color w:val="222222"/>
        </w:rPr>
        <w:t> These concepts may be investigated within a particular historical context to facilitate an understanding of the past and to provide a focus for historical inquiries.</w:t>
      </w:r>
    </w:p>
    <w:p w:rsidR="00F452B2" w:rsidRPr="00F452B2" w:rsidRDefault="00F452B2" w:rsidP="00262D2C">
      <w:pPr>
        <w:jc w:val="both"/>
        <w:rPr>
          <w:rFonts w:asciiTheme="minorHAnsi" w:hAnsiTheme="minorHAnsi" w:cstheme="minorHAnsi"/>
        </w:rPr>
      </w:pPr>
    </w:p>
    <w:p w:rsidR="00F452B2" w:rsidRPr="00262D2C" w:rsidRDefault="00F452B2" w:rsidP="00262D2C">
      <w:pPr>
        <w:jc w:val="both"/>
        <w:rPr>
          <w:rFonts w:asciiTheme="minorHAnsi" w:hAnsiTheme="minorHAnsi" w:cstheme="minorHAnsi"/>
        </w:rPr>
      </w:pPr>
    </w:p>
    <w:p w:rsidR="002B0103" w:rsidRPr="00262D2C" w:rsidRDefault="002B0103" w:rsidP="00262D2C">
      <w:pPr>
        <w:jc w:val="both"/>
        <w:rPr>
          <w:rFonts w:asciiTheme="minorHAnsi" w:hAnsiTheme="minorHAnsi" w:cstheme="minorHAnsi"/>
        </w:rPr>
      </w:pPr>
    </w:p>
    <w:p w:rsidR="002B0103" w:rsidRPr="00262D2C" w:rsidRDefault="002B0103" w:rsidP="00262D2C">
      <w:pPr>
        <w:jc w:val="both"/>
        <w:rPr>
          <w:rFonts w:asciiTheme="minorHAnsi" w:hAnsiTheme="minorHAnsi" w:cstheme="minorHAnsi"/>
          <w:b/>
          <w:sz w:val="28"/>
          <w:szCs w:val="28"/>
        </w:rPr>
      </w:pPr>
      <w:r w:rsidRPr="00262D2C">
        <w:rPr>
          <w:rFonts w:asciiTheme="minorHAnsi" w:hAnsiTheme="minorHAnsi" w:cstheme="minorHAnsi"/>
          <w:b/>
          <w:sz w:val="28"/>
          <w:szCs w:val="28"/>
        </w:rPr>
        <w:t>Victorian Curriculum Subject Areas</w:t>
      </w:r>
    </w:p>
    <w:p w:rsidR="002B0103" w:rsidRPr="00262D2C" w:rsidRDefault="002B0103" w:rsidP="00262D2C">
      <w:pPr>
        <w:jc w:val="both"/>
        <w:rPr>
          <w:rFonts w:asciiTheme="minorHAnsi" w:hAnsiTheme="minorHAnsi" w:cstheme="minorHAnsi"/>
        </w:rPr>
      </w:pPr>
    </w:p>
    <w:p w:rsidR="002B0103" w:rsidRPr="00262D2C" w:rsidRDefault="002B0103" w:rsidP="00262D2C">
      <w:pPr>
        <w:jc w:val="both"/>
        <w:rPr>
          <w:rFonts w:asciiTheme="minorHAnsi" w:hAnsiTheme="minorHAnsi" w:cstheme="minorHAnsi"/>
        </w:rPr>
      </w:pPr>
      <w:r w:rsidRPr="00262D2C">
        <w:rPr>
          <w:rFonts w:asciiTheme="minorHAnsi" w:hAnsiTheme="minorHAnsi" w:cstheme="minorHAnsi"/>
        </w:rPr>
        <w:t>This lesson on A</w:t>
      </w:r>
      <w:r w:rsidR="00F452B2" w:rsidRPr="00262D2C">
        <w:rPr>
          <w:rFonts w:asciiTheme="minorHAnsi" w:hAnsiTheme="minorHAnsi" w:cstheme="minorHAnsi"/>
        </w:rPr>
        <w:t>ustralian History and FLUTE</w:t>
      </w:r>
      <w:r w:rsidRPr="00262D2C">
        <w:rPr>
          <w:rFonts w:asciiTheme="minorHAnsi" w:hAnsiTheme="minorHAnsi" w:cstheme="minorHAnsi"/>
        </w:rPr>
        <w:t xml:space="preserve"> fits into many subject areas, such as History, Geography</w:t>
      </w:r>
      <w:r w:rsidR="00F452B2" w:rsidRPr="00262D2C">
        <w:rPr>
          <w:rFonts w:asciiTheme="minorHAnsi" w:hAnsiTheme="minorHAnsi" w:cstheme="minorHAnsi"/>
        </w:rPr>
        <w:t>, English</w:t>
      </w:r>
      <w:r w:rsidRPr="00262D2C">
        <w:rPr>
          <w:rFonts w:asciiTheme="minorHAnsi" w:hAnsiTheme="minorHAnsi" w:cstheme="minorHAnsi"/>
        </w:rPr>
        <w:t xml:space="preserve"> and Music</w:t>
      </w:r>
      <w:r w:rsidR="00F452B2" w:rsidRPr="00262D2C">
        <w:rPr>
          <w:rFonts w:asciiTheme="minorHAnsi" w:hAnsiTheme="minorHAnsi" w:cstheme="minorHAnsi"/>
        </w:rPr>
        <w:t xml:space="preserve">. </w:t>
      </w:r>
      <w:r w:rsidRPr="00262D2C">
        <w:rPr>
          <w:rFonts w:asciiTheme="minorHAnsi" w:hAnsiTheme="minorHAnsi" w:cstheme="minorHAnsi"/>
        </w:rPr>
        <w:t xml:space="preserve"> I have provided two specific examples for </w:t>
      </w:r>
      <w:r w:rsidR="00F452B2" w:rsidRPr="00262D2C">
        <w:rPr>
          <w:rFonts w:asciiTheme="minorHAnsi" w:hAnsiTheme="minorHAnsi" w:cstheme="minorHAnsi"/>
        </w:rPr>
        <w:t>English and History.</w:t>
      </w:r>
      <w:r w:rsidRPr="00262D2C">
        <w:rPr>
          <w:rFonts w:asciiTheme="minorHAnsi" w:hAnsiTheme="minorHAnsi" w:cstheme="minorHAnsi"/>
        </w:rPr>
        <w:t xml:space="preserve"> </w:t>
      </w:r>
    </w:p>
    <w:p w:rsidR="002B0103" w:rsidRPr="00262D2C" w:rsidRDefault="002B0103" w:rsidP="00262D2C">
      <w:pPr>
        <w:jc w:val="both"/>
        <w:rPr>
          <w:rFonts w:asciiTheme="minorHAnsi" w:hAnsiTheme="minorHAnsi" w:cstheme="minorHAnsi"/>
          <w:color w:val="000000" w:themeColor="text1"/>
        </w:rPr>
      </w:pPr>
    </w:p>
    <w:p w:rsidR="002B0103" w:rsidRPr="00262D2C" w:rsidRDefault="002B0103" w:rsidP="00262D2C">
      <w:pPr>
        <w:jc w:val="both"/>
        <w:rPr>
          <w:rFonts w:asciiTheme="minorHAnsi" w:hAnsiTheme="minorHAnsi" w:cstheme="minorHAnsi"/>
          <w:color w:val="000000" w:themeColor="text1"/>
        </w:rPr>
      </w:pPr>
      <w:r w:rsidRPr="00262D2C">
        <w:rPr>
          <w:rFonts w:asciiTheme="minorHAnsi" w:hAnsiTheme="minorHAnsi" w:cstheme="minorHAnsi"/>
          <w:color w:val="000000" w:themeColor="text1"/>
        </w:rPr>
        <w:t xml:space="preserve">For example: </w:t>
      </w:r>
      <w:hyperlink r:id="rId8" w:history="1">
        <w:r w:rsidR="00F452B2" w:rsidRPr="00262D2C">
          <w:rPr>
            <w:rStyle w:val="Hyperlink"/>
            <w:rFonts w:asciiTheme="minorHAnsi" w:hAnsiTheme="minorHAnsi" w:cstheme="minorHAnsi"/>
          </w:rPr>
          <w:t>Music Curriculum</w:t>
        </w:r>
      </w:hyperlink>
      <w:r w:rsidR="00F452B2" w:rsidRPr="00262D2C">
        <w:rPr>
          <w:rFonts w:asciiTheme="minorHAnsi" w:hAnsiTheme="minorHAnsi" w:cstheme="minorHAnsi"/>
          <w:color w:val="00B0F0"/>
        </w:rPr>
        <w:t xml:space="preserve"> </w:t>
      </w:r>
      <w:r w:rsidR="00F452B2" w:rsidRPr="00262D2C">
        <w:rPr>
          <w:rFonts w:asciiTheme="minorHAnsi" w:hAnsiTheme="minorHAnsi" w:cstheme="minorHAnsi"/>
          <w:color w:val="000000" w:themeColor="text1"/>
        </w:rPr>
        <w:t>is based on the following understanding from VCAA:</w:t>
      </w:r>
    </w:p>
    <w:p w:rsidR="00F452B2" w:rsidRPr="00262D2C" w:rsidRDefault="00F452B2" w:rsidP="00262D2C">
      <w:pPr>
        <w:jc w:val="both"/>
        <w:rPr>
          <w:rFonts w:asciiTheme="minorHAnsi" w:hAnsiTheme="minorHAnsi" w:cstheme="minorHAnsi"/>
        </w:rPr>
      </w:pPr>
    </w:p>
    <w:p w:rsidR="00F452B2" w:rsidRPr="00262D2C" w:rsidRDefault="00F452B2" w:rsidP="00262D2C">
      <w:pPr>
        <w:jc w:val="both"/>
        <w:rPr>
          <w:rFonts w:asciiTheme="minorHAnsi" w:hAnsiTheme="minorHAnsi" w:cstheme="minorHAnsi"/>
          <w:color w:val="000000" w:themeColor="text1"/>
          <w:shd w:val="clear" w:color="auto" w:fill="FFFFFF"/>
        </w:rPr>
      </w:pPr>
      <w:r w:rsidRPr="00262D2C">
        <w:rPr>
          <w:rFonts w:asciiTheme="minorHAnsi" w:hAnsiTheme="minorHAnsi" w:cstheme="minorHAnsi"/>
          <w:color w:val="000000" w:themeColor="text1"/>
          <w:shd w:val="clear" w:color="auto" w:fill="FFFFFF"/>
        </w:rPr>
        <w:t>Music exists distinctively in every culture and is a basic expression of human experience. Students’ active participation in music fosters understanding of other times, places, cultures and contexts. Through continuous and sequential music learning, students listen to, compose and perform with increasing depth and complexity. Through performing, composing and listening with intent to music, students have access to knowledge, skills and understanding, which can be gained in no other way. Learning in Music is aurally based and can be understood without any recourse to notation. Learning to read and write music in traditional and graphic forms enables students to access a wide range of music as independent learners.</w:t>
      </w:r>
    </w:p>
    <w:p w:rsidR="00F452B2" w:rsidRPr="00262D2C" w:rsidRDefault="00F452B2" w:rsidP="00262D2C">
      <w:pPr>
        <w:jc w:val="both"/>
        <w:rPr>
          <w:rFonts w:asciiTheme="minorHAnsi" w:hAnsiTheme="minorHAnsi" w:cstheme="minorHAnsi"/>
          <w:color w:val="000000" w:themeColor="text1"/>
        </w:rPr>
      </w:pPr>
    </w:p>
    <w:p w:rsidR="00262D2C" w:rsidRDefault="00262D2C" w:rsidP="00262D2C">
      <w:pPr>
        <w:jc w:val="both"/>
        <w:rPr>
          <w:rFonts w:asciiTheme="minorHAnsi" w:hAnsiTheme="minorHAnsi" w:cstheme="minorHAnsi"/>
          <w:color w:val="000000" w:themeColor="text1"/>
        </w:rPr>
      </w:pPr>
    </w:p>
    <w:p w:rsidR="00262D2C" w:rsidRDefault="00262D2C" w:rsidP="00262D2C">
      <w:pPr>
        <w:jc w:val="both"/>
        <w:rPr>
          <w:rFonts w:asciiTheme="minorHAnsi" w:hAnsiTheme="minorHAnsi" w:cstheme="minorHAnsi"/>
          <w:color w:val="000000" w:themeColor="text1"/>
        </w:rPr>
      </w:pPr>
    </w:p>
    <w:p w:rsidR="00262D2C" w:rsidRDefault="00262D2C" w:rsidP="00262D2C">
      <w:pPr>
        <w:jc w:val="both"/>
        <w:rPr>
          <w:rFonts w:asciiTheme="minorHAnsi" w:hAnsiTheme="minorHAnsi" w:cstheme="minorHAnsi"/>
          <w:color w:val="000000" w:themeColor="text1"/>
        </w:rPr>
      </w:pPr>
    </w:p>
    <w:p w:rsidR="00262D2C" w:rsidRDefault="00262D2C" w:rsidP="00262D2C">
      <w:pPr>
        <w:jc w:val="both"/>
        <w:rPr>
          <w:rFonts w:asciiTheme="minorHAnsi" w:hAnsiTheme="minorHAnsi" w:cstheme="minorHAnsi"/>
          <w:color w:val="000000" w:themeColor="text1"/>
        </w:rPr>
      </w:pPr>
    </w:p>
    <w:p w:rsidR="00262D2C" w:rsidRPr="00262D2C" w:rsidRDefault="00262D2C" w:rsidP="00262D2C">
      <w:pPr>
        <w:jc w:val="both"/>
        <w:rPr>
          <w:rFonts w:asciiTheme="minorHAnsi" w:hAnsiTheme="minorHAnsi" w:cstheme="minorHAnsi"/>
          <w:color w:val="000000" w:themeColor="text1"/>
        </w:rPr>
      </w:pPr>
    </w:p>
    <w:p w:rsidR="00262D2C" w:rsidRPr="00262D2C" w:rsidRDefault="00262D2C" w:rsidP="00262D2C">
      <w:pPr>
        <w:jc w:val="both"/>
        <w:rPr>
          <w:rFonts w:asciiTheme="minorHAnsi" w:hAnsiTheme="minorHAnsi" w:cstheme="minorHAnsi"/>
          <w:color w:val="000000" w:themeColor="text1"/>
        </w:rPr>
      </w:pPr>
    </w:p>
    <w:p w:rsidR="00F452B2" w:rsidRPr="00262D2C" w:rsidRDefault="00262D2C" w:rsidP="00262D2C">
      <w:pPr>
        <w:jc w:val="both"/>
        <w:rPr>
          <w:rFonts w:asciiTheme="minorHAnsi" w:hAnsiTheme="minorHAnsi" w:cstheme="minorHAnsi"/>
          <w:b/>
          <w:color w:val="000000" w:themeColor="text1"/>
          <w:sz w:val="28"/>
          <w:szCs w:val="28"/>
        </w:rPr>
      </w:pPr>
      <w:r w:rsidRPr="00262D2C">
        <w:rPr>
          <w:rFonts w:asciiTheme="minorHAnsi" w:hAnsiTheme="minorHAnsi" w:cstheme="minorHAnsi"/>
          <w:b/>
          <w:color w:val="000000" w:themeColor="text1"/>
          <w:sz w:val="28"/>
          <w:szCs w:val="28"/>
        </w:rPr>
        <w:lastRenderedPageBreak/>
        <w:t>English</w:t>
      </w:r>
    </w:p>
    <w:p w:rsidR="00F452B2" w:rsidRPr="00262D2C" w:rsidRDefault="00F452B2" w:rsidP="00262D2C">
      <w:pPr>
        <w:jc w:val="both"/>
        <w:rPr>
          <w:rFonts w:asciiTheme="minorHAnsi" w:hAnsiTheme="minorHAnsi" w:cstheme="minorHAnsi"/>
          <w:color w:val="000000" w:themeColor="text1"/>
        </w:rPr>
      </w:pPr>
      <w:r w:rsidRPr="00262D2C">
        <w:rPr>
          <w:rFonts w:asciiTheme="minorHAnsi" w:hAnsiTheme="minorHAnsi" w:cstheme="minorHAnsi"/>
          <w:color w:val="000000" w:themeColor="text1"/>
        </w:rPr>
        <w:t xml:space="preserve">This </w:t>
      </w:r>
      <w:r w:rsidR="00262D2C" w:rsidRPr="00262D2C">
        <w:rPr>
          <w:rFonts w:asciiTheme="minorHAnsi" w:hAnsiTheme="minorHAnsi" w:cstheme="minorHAnsi"/>
          <w:color w:val="000000" w:themeColor="text1"/>
        </w:rPr>
        <w:t xml:space="preserve">mix of music, history, geography and culture can also be studied in part through a literary lens. </w:t>
      </w:r>
    </w:p>
    <w:p w:rsidR="00262D2C" w:rsidRPr="00262D2C" w:rsidRDefault="00262D2C" w:rsidP="00262D2C">
      <w:pPr>
        <w:jc w:val="both"/>
        <w:rPr>
          <w:rFonts w:asciiTheme="minorHAnsi" w:hAnsiTheme="minorHAnsi" w:cstheme="minorHAnsi"/>
          <w:color w:val="000000" w:themeColor="text1"/>
        </w:rPr>
      </w:pPr>
    </w:p>
    <w:p w:rsidR="00262D2C" w:rsidRPr="00262D2C" w:rsidRDefault="00262D2C" w:rsidP="00262D2C">
      <w:pPr>
        <w:shd w:val="clear" w:color="auto" w:fill="FFFFFF"/>
        <w:spacing w:after="312"/>
        <w:jc w:val="both"/>
        <w:textAlignment w:val="baseline"/>
        <w:rPr>
          <w:rFonts w:asciiTheme="minorHAnsi" w:hAnsiTheme="minorHAnsi" w:cstheme="minorHAnsi"/>
          <w:color w:val="000000" w:themeColor="text1"/>
        </w:rPr>
      </w:pPr>
      <w:r w:rsidRPr="00262D2C">
        <w:rPr>
          <w:rFonts w:asciiTheme="minorHAnsi" w:hAnsiTheme="minorHAnsi" w:cstheme="minorHAnsi"/>
          <w:color w:val="000000" w:themeColor="text1"/>
        </w:rPr>
        <w:t xml:space="preserve">The </w:t>
      </w:r>
      <w:hyperlink r:id="rId9" w:history="1">
        <w:r w:rsidRPr="00262D2C">
          <w:rPr>
            <w:rStyle w:val="Hyperlink"/>
            <w:rFonts w:asciiTheme="minorHAnsi" w:hAnsiTheme="minorHAnsi" w:cstheme="minorHAnsi"/>
            <w:color w:val="000000" w:themeColor="text1"/>
          </w:rPr>
          <w:t xml:space="preserve">English </w:t>
        </w:r>
        <w:r w:rsidRPr="00262D2C">
          <w:rPr>
            <w:rStyle w:val="Hyperlink"/>
            <w:rFonts w:asciiTheme="minorHAnsi" w:hAnsiTheme="minorHAnsi" w:cstheme="minorHAnsi"/>
            <w:color w:val="000000" w:themeColor="text1"/>
          </w:rPr>
          <w:t>Cu</w:t>
        </w:r>
        <w:r w:rsidRPr="00262D2C">
          <w:rPr>
            <w:rStyle w:val="Hyperlink"/>
            <w:rFonts w:asciiTheme="minorHAnsi" w:hAnsiTheme="minorHAnsi" w:cstheme="minorHAnsi"/>
            <w:color w:val="000000" w:themeColor="text1"/>
          </w:rPr>
          <w:t>rricu</w:t>
        </w:r>
        <w:r w:rsidRPr="00262D2C">
          <w:rPr>
            <w:rStyle w:val="Hyperlink"/>
            <w:rFonts w:asciiTheme="minorHAnsi" w:hAnsiTheme="minorHAnsi" w:cstheme="minorHAnsi"/>
            <w:color w:val="000000" w:themeColor="text1"/>
          </w:rPr>
          <w:t>l</w:t>
        </w:r>
        <w:r w:rsidRPr="00262D2C">
          <w:rPr>
            <w:rStyle w:val="Hyperlink"/>
            <w:rFonts w:asciiTheme="minorHAnsi" w:hAnsiTheme="minorHAnsi" w:cstheme="minorHAnsi"/>
            <w:color w:val="000000" w:themeColor="text1"/>
          </w:rPr>
          <w:t>um</w:t>
        </w:r>
      </w:hyperlink>
      <w:r w:rsidRPr="00262D2C">
        <w:rPr>
          <w:rFonts w:asciiTheme="minorHAnsi" w:hAnsiTheme="minorHAnsi" w:cstheme="minorHAnsi"/>
          <w:color w:val="000000" w:themeColor="text1"/>
        </w:rPr>
        <w:t xml:space="preserve"> aims to ensure that students:</w:t>
      </w:r>
    </w:p>
    <w:p w:rsidR="00262D2C" w:rsidRPr="00262D2C" w:rsidRDefault="00262D2C" w:rsidP="00262D2C">
      <w:pPr>
        <w:numPr>
          <w:ilvl w:val="0"/>
          <w:numId w:val="5"/>
        </w:numPr>
        <w:shd w:val="clear" w:color="auto" w:fill="FFFFFF"/>
        <w:spacing w:before="60" w:after="60"/>
        <w:ind w:left="330"/>
        <w:jc w:val="both"/>
        <w:textAlignment w:val="baseline"/>
        <w:rPr>
          <w:rFonts w:asciiTheme="minorHAnsi" w:hAnsiTheme="minorHAnsi" w:cstheme="minorHAnsi"/>
          <w:color w:val="000000" w:themeColor="text1"/>
        </w:rPr>
      </w:pPr>
      <w:r w:rsidRPr="00262D2C">
        <w:rPr>
          <w:rFonts w:asciiTheme="minorHAnsi" w:hAnsiTheme="minorHAnsi" w:cstheme="minorHAnsi"/>
          <w:color w:val="000000" w:themeColor="text1"/>
        </w:rPr>
        <w:t>learn to listen to, read, view, speak, write, create and reflect on increasingly complex and sophisticated spoken, written and multimodal texts across a growing range of contexts with accuracy, fluency and purpose</w:t>
      </w:r>
    </w:p>
    <w:p w:rsidR="00262D2C" w:rsidRPr="00262D2C" w:rsidRDefault="00262D2C" w:rsidP="00262D2C">
      <w:pPr>
        <w:numPr>
          <w:ilvl w:val="0"/>
          <w:numId w:val="5"/>
        </w:numPr>
        <w:shd w:val="clear" w:color="auto" w:fill="FFFFFF"/>
        <w:spacing w:before="60" w:after="60"/>
        <w:ind w:left="330"/>
        <w:jc w:val="both"/>
        <w:textAlignment w:val="baseline"/>
        <w:rPr>
          <w:rFonts w:asciiTheme="minorHAnsi" w:hAnsiTheme="minorHAnsi" w:cstheme="minorHAnsi"/>
          <w:color w:val="000000" w:themeColor="text1"/>
        </w:rPr>
      </w:pPr>
      <w:r w:rsidRPr="00262D2C">
        <w:rPr>
          <w:rFonts w:asciiTheme="minorHAnsi" w:hAnsiTheme="minorHAnsi" w:cstheme="minorHAnsi"/>
          <w:color w:val="000000" w:themeColor="text1"/>
        </w:rPr>
        <w:t>appreciate, enjoy and use the English language in all its variations and develop a sense of its richness and power to evoke feelings, convey information, form ideas, facilitate interaction with others, entertain, persuade and argue</w:t>
      </w:r>
    </w:p>
    <w:p w:rsidR="00262D2C" w:rsidRPr="00262D2C" w:rsidRDefault="00262D2C" w:rsidP="00262D2C">
      <w:pPr>
        <w:numPr>
          <w:ilvl w:val="0"/>
          <w:numId w:val="5"/>
        </w:numPr>
        <w:shd w:val="clear" w:color="auto" w:fill="FFFFFF"/>
        <w:spacing w:before="60" w:after="60"/>
        <w:ind w:left="330"/>
        <w:jc w:val="both"/>
        <w:textAlignment w:val="baseline"/>
        <w:rPr>
          <w:rFonts w:asciiTheme="minorHAnsi" w:hAnsiTheme="minorHAnsi" w:cstheme="minorHAnsi"/>
          <w:color w:val="000000" w:themeColor="text1"/>
        </w:rPr>
      </w:pPr>
      <w:r w:rsidRPr="00262D2C">
        <w:rPr>
          <w:rFonts w:asciiTheme="minorHAnsi" w:hAnsiTheme="minorHAnsi" w:cstheme="minorHAnsi"/>
          <w:color w:val="000000" w:themeColor="text1"/>
        </w:rPr>
        <w:t>understand how Standard Australian English works in its spoken and written forms and in combination with non-linguistic forms of communication to create meaning</w:t>
      </w:r>
    </w:p>
    <w:p w:rsidR="00262D2C" w:rsidRPr="00262D2C" w:rsidRDefault="00262D2C" w:rsidP="00262D2C">
      <w:pPr>
        <w:numPr>
          <w:ilvl w:val="0"/>
          <w:numId w:val="5"/>
        </w:numPr>
        <w:shd w:val="clear" w:color="auto" w:fill="FFFFFF"/>
        <w:spacing w:before="60" w:after="60"/>
        <w:ind w:left="330"/>
        <w:jc w:val="both"/>
        <w:textAlignment w:val="baseline"/>
        <w:rPr>
          <w:rFonts w:asciiTheme="minorHAnsi" w:hAnsiTheme="minorHAnsi" w:cstheme="minorHAnsi"/>
          <w:color w:val="000000" w:themeColor="text1"/>
        </w:rPr>
      </w:pPr>
      <w:r w:rsidRPr="00262D2C">
        <w:rPr>
          <w:rFonts w:asciiTheme="minorHAnsi" w:hAnsiTheme="minorHAnsi" w:cstheme="minorHAnsi"/>
          <w:color w:val="000000" w:themeColor="text1"/>
        </w:rPr>
        <w:t>develop interest and skills in inquiring into the aesthetic aspects of texts, and develop an informed appreciation of literature.</w:t>
      </w:r>
    </w:p>
    <w:p w:rsidR="00262D2C" w:rsidRPr="00262D2C" w:rsidRDefault="00262D2C" w:rsidP="00262D2C">
      <w:pPr>
        <w:jc w:val="both"/>
        <w:rPr>
          <w:rFonts w:asciiTheme="minorHAnsi" w:hAnsiTheme="minorHAnsi" w:cstheme="minorHAnsi"/>
          <w:color w:val="000000" w:themeColor="text1"/>
        </w:rPr>
      </w:pPr>
    </w:p>
    <w:p w:rsidR="00262D2C" w:rsidRDefault="00262D2C" w:rsidP="002B0103">
      <w:pPr>
        <w:jc w:val="both"/>
        <w:rPr>
          <w:rFonts w:cstheme="minorHAnsi"/>
        </w:rPr>
      </w:pPr>
    </w:p>
    <w:p w:rsidR="002B0103" w:rsidRDefault="002B0103" w:rsidP="002B0103">
      <w:pPr>
        <w:jc w:val="both"/>
        <w:rPr>
          <w:rFonts w:cstheme="minorHAnsi"/>
        </w:rPr>
      </w:pPr>
    </w:p>
    <w:p w:rsidR="002B0103" w:rsidRPr="008A0285" w:rsidRDefault="002B0103" w:rsidP="002B0103">
      <w:pPr>
        <w:pStyle w:val="IntenseQuote"/>
        <w:ind w:left="0" w:right="231"/>
        <w:rPr>
          <w:b/>
          <w:sz w:val="36"/>
          <w:szCs w:val="36"/>
        </w:rPr>
      </w:pPr>
      <w:r>
        <w:rPr>
          <w:b/>
          <w:sz w:val="36"/>
          <w:szCs w:val="36"/>
        </w:rPr>
        <w:t>Questions, and Extension Activities</w:t>
      </w:r>
    </w:p>
    <w:p w:rsidR="002B0103" w:rsidRPr="00F814FB" w:rsidRDefault="002B0103" w:rsidP="002B0103">
      <w:pPr>
        <w:jc w:val="both"/>
        <w:rPr>
          <w:rFonts w:cstheme="minorHAnsi"/>
          <w:b/>
        </w:rPr>
      </w:pPr>
      <w:r w:rsidRPr="00F814FB">
        <w:rPr>
          <w:rFonts w:cstheme="minorHAnsi"/>
          <w:b/>
        </w:rPr>
        <w:t>Questions:</w:t>
      </w:r>
    </w:p>
    <w:p w:rsidR="002B0103" w:rsidRDefault="002B0103" w:rsidP="002B0103">
      <w:pPr>
        <w:jc w:val="both"/>
        <w:rPr>
          <w:rFonts w:cstheme="minorHAnsi"/>
        </w:rPr>
      </w:pPr>
    </w:p>
    <w:p w:rsidR="002B0103" w:rsidRDefault="00262D2C" w:rsidP="002B0103">
      <w:pPr>
        <w:pStyle w:val="ListParagraph"/>
        <w:numPr>
          <w:ilvl w:val="0"/>
          <w:numId w:val="3"/>
        </w:numPr>
        <w:jc w:val="both"/>
        <w:rPr>
          <w:rFonts w:cstheme="minorHAnsi"/>
        </w:rPr>
      </w:pPr>
      <w:r>
        <w:rPr>
          <w:rFonts w:cstheme="minorHAnsi"/>
        </w:rPr>
        <w:t>What does FLUTE stand for</w:t>
      </w:r>
      <w:r w:rsidR="002B0103">
        <w:rPr>
          <w:rFonts w:cstheme="minorHAnsi"/>
        </w:rPr>
        <w:t>?</w:t>
      </w:r>
    </w:p>
    <w:p w:rsidR="002B0103" w:rsidRDefault="002B0103" w:rsidP="002B0103">
      <w:pPr>
        <w:pStyle w:val="ListParagraph"/>
        <w:numPr>
          <w:ilvl w:val="0"/>
          <w:numId w:val="3"/>
        </w:numPr>
        <w:jc w:val="both"/>
        <w:rPr>
          <w:rFonts w:cstheme="minorHAnsi"/>
        </w:rPr>
      </w:pPr>
      <w:r>
        <w:rPr>
          <w:rFonts w:cstheme="minorHAnsi"/>
        </w:rPr>
        <w:t>Wh</w:t>
      </w:r>
      <w:r w:rsidR="00262D2C">
        <w:rPr>
          <w:rFonts w:cstheme="minorHAnsi"/>
        </w:rPr>
        <w:t>ich one stood out the most for you and why</w:t>
      </w:r>
      <w:r>
        <w:rPr>
          <w:rFonts w:cstheme="minorHAnsi"/>
        </w:rPr>
        <w:t xml:space="preserve">? </w:t>
      </w:r>
    </w:p>
    <w:p w:rsidR="00262D2C" w:rsidRDefault="00262D2C" w:rsidP="002B0103">
      <w:pPr>
        <w:pStyle w:val="ListParagraph"/>
        <w:numPr>
          <w:ilvl w:val="0"/>
          <w:numId w:val="3"/>
        </w:numPr>
        <w:jc w:val="both"/>
        <w:rPr>
          <w:rFonts w:cstheme="minorHAnsi"/>
        </w:rPr>
      </w:pPr>
      <w:r>
        <w:rPr>
          <w:rFonts w:cstheme="minorHAnsi"/>
        </w:rPr>
        <w:t>Explain why what happened to Adam Goodes was so significant.</w:t>
      </w:r>
    </w:p>
    <w:p w:rsidR="002B0103" w:rsidRDefault="002B0103" w:rsidP="002B0103">
      <w:pPr>
        <w:pStyle w:val="ListParagraph"/>
        <w:jc w:val="both"/>
        <w:rPr>
          <w:rFonts w:cstheme="minorHAnsi"/>
        </w:rPr>
      </w:pPr>
    </w:p>
    <w:p w:rsidR="002B0103" w:rsidRDefault="002B0103" w:rsidP="002B0103">
      <w:pPr>
        <w:jc w:val="both"/>
        <w:rPr>
          <w:rFonts w:cstheme="minorHAnsi"/>
        </w:rPr>
      </w:pPr>
    </w:p>
    <w:p w:rsidR="002B0103" w:rsidRPr="00F814FB" w:rsidRDefault="00262D2C" w:rsidP="002B0103">
      <w:pPr>
        <w:jc w:val="both"/>
        <w:rPr>
          <w:rFonts w:cstheme="minorHAnsi"/>
          <w:b/>
        </w:rPr>
      </w:pPr>
      <w:r>
        <w:rPr>
          <w:rFonts w:cstheme="minorHAnsi"/>
          <w:b/>
        </w:rPr>
        <w:t>Think/</w:t>
      </w:r>
      <w:r w:rsidR="002B0103" w:rsidRPr="00F814FB">
        <w:rPr>
          <w:rFonts w:cstheme="minorHAnsi"/>
          <w:b/>
        </w:rPr>
        <w:t>Pair/Share - Interview:</w:t>
      </w:r>
    </w:p>
    <w:p w:rsidR="002B0103" w:rsidRDefault="002B0103" w:rsidP="00FB1207">
      <w:pPr>
        <w:jc w:val="both"/>
        <w:rPr>
          <w:rFonts w:cstheme="minorHAnsi"/>
        </w:rPr>
      </w:pPr>
    </w:p>
    <w:p w:rsidR="002B0103" w:rsidRDefault="00262D2C" w:rsidP="00FB1207">
      <w:pPr>
        <w:jc w:val="both"/>
        <w:rPr>
          <w:rFonts w:cstheme="minorHAnsi"/>
        </w:rPr>
      </w:pPr>
      <w:r>
        <w:rPr>
          <w:rFonts w:cstheme="minorHAnsi"/>
        </w:rPr>
        <w:t>Think about your own understanding, then i</w:t>
      </w:r>
      <w:r w:rsidR="002B0103">
        <w:rPr>
          <w:rFonts w:cstheme="minorHAnsi"/>
        </w:rPr>
        <w:t xml:space="preserve">nterview the person next to you </w:t>
      </w:r>
      <w:r>
        <w:rPr>
          <w:rFonts w:cstheme="minorHAnsi"/>
        </w:rPr>
        <w:t xml:space="preserve">(or in your online forum) </w:t>
      </w:r>
      <w:r w:rsidR="002B0103">
        <w:rPr>
          <w:rFonts w:cstheme="minorHAnsi"/>
        </w:rPr>
        <w:t xml:space="preserve">about </w:t>
      </w:r>
      <w:r>
        <w:rPr>
          <w:rFonts w:cstheme="minorHAnsi"/>
        </w:rPr>
        <w:t>their understanding of what Terra Nullius means and why the white people arriving in Australia used that term.</w:t>
      </w:r>
    </w:p>
    <w:p w:rsidR="00262D2C" w:rsidRDefault="00262D2C" w:rsidP="00FB1207">
      <w:pPr>
        <w:jc w:val="both"/>
        <w:rPr>
          <w:rFonts w:cstheme="minorHAnsi"/>
        </w:rPr>
      </w:pPr>
    </w:p>
    <w:p w:rsidR="00262D2C" w:rsidRPr="00F814FB" w:rsidRDefault="00262D2C" w:rsidP="002B0103">
      <w:pPr>
        <w:jc w:val="both"/>
        <w:rPr>
          <w:rFonts w:cstheme="minorHAnsi"/>
        </w:rPr>
      </w:pPr>
      <w:r>
        <w:rPr>
          <w:rFonts w:cstheme="minorHAnsi"/>
        </w:rPr>
        <w:t>Come back to the class</w:t>
      </w:r>
      <w:r w:rsidR="00FB1207">
        <w:rPr>
          <w:rFonts w:cstheme="minorHAnsi"/>
        </w:rPr>
        <w:t>/group</w:t>
      </w:r>
      <w:r>
        <w:rPr>
          <w:rFonts w:cstheme="minorHAnsi"/>
        </w:rPr>
        <w:t xml:space="preserve"> with some of your thoughts</w:t>
      </w:r>
    </w:p>
    <w:p w:rsidR="002B0103" w:rsidRDefault="002B0103" w:rsidP="002B0103">
      <w:pPr>
        <w:jc w:val="both"/>
        <w:rPr>
          <w:rFonts w:cstheme="minorHAnsi"/>
        </w:rPr>
      </w:pPr>
    </w:p>
    <w:p w:rsidR="002B0103" w:rsidRDefault="002B0103" w:rsidP="002B0103">
      <w:pPr>
        <w:jc w:val="both"/>
        <w:rPr>
          <w:rFonts w:cstheme="minorHAnsi"/>
        </w:rPr>
      </w:pPr>
    </w:p>
    <w:p w:rsidR="002B0103" w:rsidRDefault="002B0103" w:rsidP="002B0103">
      <w:pPr>
        <w:jc w:val="both"/>
        <w:rPr>
          <w:rFonts w:cstheme="minorHAnsi"/>
          <w:b/>
        </w:rPr>
      </w:pPr>
      <w:r w:rsidRPr="00F814FB">
        <w:rPr>
          <w:rFonts w:cstheme="minorHAnsi"/>
          <w:b/>
        </w:rPr>
        <w:t>Extension Activity:</w:t>
      </w:r>
    </w:p>
    <w:p w:rsidR="00262D2C" w:rsidRPr="00262D2C" w:rsidRDefault="00262D2C" w:rsidP="002B0103">
      <w:pPr>
        <w:jc w:val="both"/>
        <w:rPr>
          <w:rFonts w:cstheme="minorHAnsi"/>
          <w:u w:val="single"/>
        </w:rPr>
      </w:pPr>
      <w:r w:rsidRPr="00262D2C">
        <w:rPr>
          <w:rFonts w:cstheme="minorHAnsi"/>
          <w:u w:val="single"/>
        </w:rPr>
        <w:t>Language Analysis</w:t>
      </w:r>
    </w:p>
    <w:p w:rsidR="002B0103" w:rsidRDefault="002B0103" w:rsidP="002B0103">
      <w:pPr>
        <w:jc w:val="both"/>
        <w:rPr>
          <w:rFonts w:cstheme="minorHAnsi"/>
        </w:rPr>
      </w:pPr>
    </w:p>
    <w:p w:rsidR="002B0103" w:rsidRDefault="00262D2C" w:rsidP="002B0103">
      <w:pPr>
        <w:jc w:val="both"/>
        <w:rPr>
          <w:rFonts w:cstheme="minorHAnsi"/>
        </w:rPr>
      </w:pPr>
      <w:r>
        <w:rPr>
          <w:rFonts w:cstheme="minorHAnsi"/>
        </w:rPr>
        <w:t xml:space="preserve">Study the words of the song </w:t>
      </w:r>
      <w:r w:rsidR="00FB1207">
        <w:rPr>
          <w:rFonts w:cstheme="minorHAnsi"/>
        </w:rPr>
        <w:t xml:space="preserve">(Solid Rock) </w:t>
      </w:r>
      <w:r>
        <w:rPr>
          <w:rFonts w:cstheme="minorHAnsi"/>
        </w:rPr>
        <w:t xml:space="preserve">that Scott </w:t>
      </w:r>
      <w:proofErr w:type="spellStart"/>
      <w:r>
        <w:rPr>
          <w:rFonts w:cstheme="minorHAnsi"/>
        </w:rPr>
        <w:t>Darlow</w:t>
      </w:r>
      <w:proofErr w:type="spellEnd"/>
      <w:r>
        <w:rPr>
          <w:rFonts w:cstheme="minorHAnsi"/>
        </w:rPr>
        <w:t xml:space="preserve"> sang with Goanna front man, Shane Howard.</w:t>
      </w:r>
    </w:p>
    <w:p w:rsidR="00262D2C" w:rsidRDefault="00262D2C" w:rsidP="00262D2C">
      <w:pPr>
        <w:pStyle w:val="ListParagraph"/>
        <w:numPr>
          <w:ilvl w:val="0"/>
          <w:numId w:val="5"/>
        </w:numPr>
        <w:jc w:val="both"/>
        <w:rPr>
          <w:rFonts w:cstheme="minorHAnsi"/>
        </w:rPr>
      </w:pPr>
      <w:r>
        <w:rPr>
          <w:rFonts w:cstheme="minorHAnsi"/>
        </w:rPr>
        <w:t>What is the main message/contention of this song?</w:t>
      </w:r>
    </w:p>
    <w:p w:rsidR="00262D2C" w:rsidRDefault="00262D2C" w:rsidP="00262D2C">
      <w:pPr>
        <w:pStyle w:val="ListParagraph"/>
        <w:numPr>
          <w:ilvl w:val="0"/>
          <w:numId w:val="5"/>
        </w:numPr>
        <w:jc w:val="both"/>
        <w:rPr>
          <w:rFonts w:cstheme="minorHAnsi"/>
        </w:rPr>
      </w:pPr>
      <w:r>
        <w:rPr>
          <w:rFonts w:cstheme="minorHAnsi"/>
        </w:rPr>
        <w:t>What is the purpose?</w:t>
      </w:r>
    </w:p>
    <w:p w:rsidR="00262D2C" w:rsidRDefault="00262D2C" w:rsidP="00262D2C">
      <w:pPr>
        <w:pStyle w:val="ListParagraph"/>
        <w:numPr>
          <w:ilvl w:val="0"/>
          <w:numId w:val="5"/>
        </w:numPr>
        <w:jc w:val="both"/>
        <w:rPr>
          <w:rFonts w:cstheme="minorHAnsi"/>
        </w:rPr>
      </w:pPr>
      <w:r>
        <w:rPr>
          <w:rFonts w:cstheme="minorHAnsi"/>
        </w:rPr>
        <w:t>Are there any Arguments?</w:t>
      </w:r>
    </w:p>
    <w:p w:rsidR="00262D2C" w:rsidRPr="00262D2C" w:rsidRDefault="00262D2C" w:rsidP="00262D2C">
      <w:pPr>
        <w:pStyle w:val="ListParagraph"/>
        <w:numPr>
          <w:ilvl w:val="0"/>
          <w:numId w:val="5"/>
        </w:numPr>
        <w:jc w:val="both"/>
        <w:rPr>
          <w:rFonts w:cstheme="minorHAnsi"/>
        </w:rPr>
      </w:pPr>
      <w:r>
        <w:rPr>
          <w:rFonts w:cstheme="minorHAnsi"/>
        </w:rPr>
        <w:t>What examples/evidence is used to support the contention/point of view?</w:t>
      </w:r>
    </w:p>
    <w:p w:rsidR="002B0103" w:rsidRDefault="002B0103">
      <w:bookmarkStart w:id="0" w:name="_GoBack"/>
      <w:bookmarkEnd w:id="0"/>
    </w:p>
    <w:sectPr w:rsidR="002B0103" w:rsidSect="00262D2C">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6B2D"/>
    <w:multiLevelType w:val="multilevel"/>
    <w:tmpl w:val="BA5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F5889"/>
    <w:multiLevelType w:val="hybridMultilevel"/>
    <w:tmpl w:val="C95085AA"/>
    <w:lvl w:ilvl="0" w:tplc="1FE04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3D56"/>
    <w:multiLevelType w:val="multilevel"/>
    <w:tmpl w:val="AD8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8F20FC"/>
    <w:multiLevelType w:val="hybridMultilevel"/>
    <w:tmpl w:val="FBBAB6EC"/>
    <w:lvl w:ilvl="0" w:tplc="A2180D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03"/>
    <w:rsid w:val="000F384D"/>
    <w:rsid w:val="0013135A"/>
    <w:rsid w:val="00174562"/>
    <w:rsid w:val="00214E7A"/>
    <w:rsid w:val="00262D2C"/>
    <w:rsid w:val="002B0103"/>
    <w:rsid w:val="004A03E7"/>
    <w:rsid w:val="006243B1"/>
    <w:rsid w:val="008C57DA"/>
    <w:rsid w:val="00CA5BDF"/>
    <w:rsid w:val="00F452B2"/>
    <w:rsid w:val="00FB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8DDAF8"/>
  <w14:defaultImageDpi w14:val="32767"/>
  <w15:chartTrackingRefBased/>
  <w15:docId w15:val="{9369D9C1-A1D7-4640-987E-3132BBC2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2B2"/>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03"/>
    <w:rPr>
      <w:color w:val="0563C1" w:themeColor="hyperlink"/>
      <w:u w:val="single"/>
    </w:rPr>
  </w:style>
  <w:style w:type="paragraph" w:styleId="ListParagraph">
    <w:name w:val="List Paragraph"/>
    <w:basedOn w:val="Normal"/>
    <w:uiPriority w:val="34"/>
    <w:qFormat/>
    <w:rsid w:val="002B0103"/>
    <w:pPr>
      <w:ind w:left="720"/>
      <w:contextualSpacing/>
    </w:pPr>
  </w:style>
  <w:style w:type="paragraph" w:customStyle="1" w:styleId="GCNormalText">
    <w:name w:val="GC Normal Text"/>
    <w:basedOn w:val="Normal"/>
    <w:link w:val="GCNormalTextChar"/>
    <w:qFormat/>
    <w:rsid w:val="002B0103"/>
    <w:pPr>
      <w:spacing w:after="200" w:line="276" w:lineRule="auto"/>
    </w:pPr>
    <w:rPr>
      <w:rFonts w:ascii="Arial" w:eastAsiaTheme="minorEastAsia" w:hAnsi="Arial" w:cs="Arial"/>
      <w:sz w:val="18"/>
      <w:lang w:eastAsia="en-AU"/>
    </w:rPr>
  </w:style>
  <w:style w:type="character" w:customStyle="1" w:styleId="GCNormalTextChar">
    <w:name w:val="GC Normal Text Char"/>
    <w:basedOn w:val="DefaultParagraphFont"/>
    <w:link w:val="GCNormalText"/>
    <w:rsid w:val="002B0103"/>
    <w:rPr>
      <w:rFonts w:ascii="Arial" w:eastAsiaTheme="minorEastAsia" w:hAnsi="Arial" w:cs="Arial"/>
      <w:sz w:val="18"/>
      <w:lang w:val="en-AU" w:eastAsia="en-AU"/>
    </w:rPr>
  </w:style>
  <w:style w:type="paragraph" w:styleId="IntenseQuote">
    <w:name w:val="Intense Quote"/>
    <w:basedOn w:val="Normal"/>
    <w:next w:val="Normal"/>
    <w:link w:val="IntenseQuoteChar"/>
    <w:uiPriority w:val="30"/>
    <w:qFormat/>
    <w:rsid w:val="002B01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0103"/>
    <w:rPr>
      <w:i/>
      <w:iCs/>
      <w:color w:val="4472C4" w:themeColor="accent1"/>
    </w:rPr>
  </w:style>
  <w:style w:type="character" w:styleId="FollowedHyperlink">
    <w:name w:val="FollowedHyperlink"/>
    <w:basedOn w:val="DefaultParagraphFont"/>
    <w:uiPriority w:val="99"/>
    <w:semiHidden/>
    <w:unhideWhenUsed/>
    <w:rsid w:val="004A03E7"/>
    <w:rPr>
      <w:color w:val="954F72" w:themeColor="followedHyperlink"/>
      <w:u w:val="single"/>
    </w:rPr>
  </w:style>
  <w:style w:type="paragraph" w:styleId="NormalWeb">
    <w:name w:val="Normal (Web)"/>
    <w:basedOn w:val="Normal"/>
    <w:uiPriority w:val="99"/>
    <w:semiHidden/>
    <w:unhideWhenUsed/>
    <w:rsid w:val="004A03E7"/>
    <w:pPr>
      <w:spacing w:before="100" w:beforeAutospacing="1" w:after="100" w:afterAutospacing="1"/>
    </w:pPr>
  </w:style>
  <w:style w:type="character" w:styleId="Strong">
    <w:name w:val="Strong"/>
    <w:basedOn w:val="DefaultParagraphFont"/>
    <w:uiPriority w:val="22"/>
    <w:qFormat/>
    <w:rsid w:val="00F452B2"/>
    <w:rPr>
      <w:b/>
      <w:bCs/>
    </w:rPr>
  </w:style>
  <w:style w:type="character" w:styleId="UnresolvedMention">
    <w:name w:val="Unresolved Mention"/>
    <w:basedOn w:val="DefaultParagraphFont"/>
    <w:uiPriority w:val="99"/>
    <w:rsid w:val="00F4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084">
      <w:bodyDiv w:val="1"/>
      <w:marLeft w:val="0"/>
      <w:marRight w:val="0"/>
      <w:marTop w:val="0"/>
      <w:marBottom w:val="0"/>
      <w:divBdr>
        <w:top w:val="none" w:sz="0" w:space="0" w:color="auto"/>
        <w:left w:val="none" w:sz="0" w:space="0" w:color="auto"/>
        <w:bottom w:val="none" w:sz="0" w:space="0" w:color="auto"/>
        <w:right w:val="none" w:sz="0" w:space="0" w:color="auto"/>
      </w:divBdr>
    </w:div>
    <w:div w:id="957680632">
      <w:bodyDiv w:val="1"/>
      <w:marLeft w:val="0"/>
      <w:marRight w:val="0"/>
      <w:marTop w:val="0"/>
      <w:marBottom w:val="0"/>
      <w:divBdr>
        <w:top w:val="none" w:sz="0" w:space="0" w:color="auto"/>
        <w:left w:val="none" w:sz="0" w:space="0" w:color="auto"/>
        <w:bottom w:val="none" w:sz="0" w:space="0" w:color="auto"/>
        <w:right w:val="none" w:sz="0" w:space="0" w:color="auto"/>
      </w:divBdr>
    </w:div>
    <w:div w:id="1151680136">
      <w:bodyDiv w:val="1"/>
      <w:marLeft w:val="0"/>
      <w:marRight w:val="0"/>
      <w:marTop w:val="0"/>
      <w:marBottom w:val="0"/>
      <w:divBdr>
        <w:top w:val="none" w:sz="0" w:space="0" w:color="auto"/>
        <w:left w:val="none" w:sz="0" w:space="0" w:color="auto"/>
        <w:bottom w:val="none" w:sz="0" w:space="0" w:color="auto"/>
        <w:right w:val="none" w:sz="0" w:space="0" w:color="auto"/>
      </w:divBdr>
    </w:div>
    <w:div w:id="1251086788">
      <w:bodyDiv w:val="1"/>
      <w:marLeft w:val="0"/>
      <w:marRight w:val="0"/>
      <w:marTop w:val="0"/>
      <w:marBottom w:val="0"/>
      <w:divBdr>
        <w:top w:val="none" w:sz="0" w:space="0" w:color="auto"/>
        <w:left w:val="none" w:sz="0" w:space="0" w:color="auto"/>
        <w:bottom w:val="none" w:sz="0" w:space="0" w:color="auto"/>
        <w:right w:val="none" w:sz="0" w:space="0" w:color="auto"/>
      </w:divBdr>
    </w:div>
    <w:div w:id="1843009618">
      <w:bodyDiv w:val="1"/>
      <w:marLeft w:val="0"/>
      <w:marRight w:val="0"/>
      <w:marTop w:val="0"/>
      <w:marBottom w:val="0"/>
      <w:divBdr>
        <w:top w:val="none" w:sz="0" w:space="0" w:color="auto"/>
        <w:left w:val="none" w:sz="0" w:space="0" w:color="auto"/>
        <w:bottom w:val="none" w:sz="0" w:space="0" w:color="auto"/>
        <w:right w:val="none" w:sz="0" w:space="0" w:color="auto"/>
      </w:divBdr>
    </w:div>
    <w:div w:id="19109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arts/music/introduction/rationale-and-aims" TargetMode="External"/><Relationship Id="rId3" Type="http://schemas.openxmlformats.org/officeDocument/2006/relationships/settings" Target="settings.xml"/><Relationship Id="rId7" Type="http://schemas.openxmlformats.org/officeDocument/2006/relationships/hyperlink" Target="https://www.australiancurriculum.edu.au/f-10-curriculum/humanities-and-social-sciences/history/?year=12320&amp;year=12321&amp;strand=Historical+Knowledge+and+Understanding&amp;strand=Historical+Skills&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raliancurriculum.edu.au/f-10-curriculum/general-capabil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ctoriancurriculum.vcaa.vic.edu.au/english/english/introduction/rationale-and-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Amanda Clifford</cp:lastModifiedBy>
  <cp:revision>1</cp:revision>
  <dcterms:created xsi:type="dcterms:W3CDTF">2020-05-08T02:12:00Z</dcterms:created>
  <dcterms:modified xsi:type="dcterms:W3CDTF">2020-05-08T03:30:00Z</dcterms:modified>
</cp:coreProperties>
</file>